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8865" cy="14058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EB" w:rsidRDefault="00F91C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F91CEB" w:rsidRDefault="00F91CEB"/>
    <w:p w:rsidR="00F91CEB" w:rsidRDefault="00F91CEB"/>
    <w:p w:rsidR="00F91CEB" w:rsidRDefault="00F91CEB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0363B6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ISF100</w:t>
      </w:r>
      <w:r w:rsidR="00CC7088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</w:t>
      </w:r>
      <w:r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P</w:t>
      </w:r>
      <w:r w:rsidR="0072403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 xml:space="preserve"> </w:t>
      </w:r>
      <w:r w:rsidR="0072403F" w:rsidRPr="0072403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Series</w:t>
      </w:r>
    </w:p>
    <w:p w:rsidR="00F91CEB" w:rsidRDefault="00F91CEB">
      <w:pPr>
        <w:rPr>
          <w:color w:val="538135" w:themeColor="accent6" w:themeShade="BF"/>
        </w:rPr>
      </w:pPr>
    </w:p>
    <w:p w:rsidR="00F91CEB" w:rsidRPr="0004458C" w:rsidRDefault="000363B6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04458C">
        <w:rPr>
          <w:rFonts w:ascii="Arial" w:hAnsi="Arial" w:cs="Arial" w:hint="eastAsia"/>
          <w:color w:val="FF0000"/>
          <w:w w:val="90"/>
          <w:sz w:val="44"/>
          <w:szCs w:val="44"/>
        </w:rPr>
        <w:t>100M Unmanaged Rail Type Industrial</w:t>
      </w:r>
      <w:r w:rsidR="00F32821" w:rsidRPr="0004458C">
        <w:rPr>
          <w:rFonts w:ascii="Arial" w:hAnsi="Arial" w:cs="Arial" w:hint="eastAsia"/>
          <w:color w:val="FF0000"/>
          <w:w w:val="90"/>
          <w:sz w:val="44"/>
          <w:szCs w:val="44"/>
        </w:rPr>
        <w:t xml:space="preserve"> </w:t>
      </w:r>
      <w:r w:rsidR="005F1431">
        <w:rPr>
          <w:rFonts w:ascii="Arial" w:hAnsi="Arial" w:cs="Arial" w:hint="eastAsia"/>
          <w:color w:val="FF0000"/>
          <w:w w:val="90"/>
          <w:sz w:val="44"/>
          <w:szCs w:val="44"/>
        </w:rPr>
        <w:t xml:space="preserve">POE </w:t>
      </w:r>
      <w:r w:rsidRPr="0004458C">
        <w:rPr>
          <w:rFonts w:ascii="Arial" w:hAnsi="Arial" w:cs="Arial" w:hint="eastAsia"/>
          <w:color w:val="FF0000"/>
          <w:w w:val="90"/>
          <w:sz w:val="44"/>
          <w:szCs w:val="44"/>
        </w:rPr>
        <w:t>Switch</w:t>
      </w:r>
    </w:p>
    <w:p w:rsidR="00F91CEB" w:rsidRDefault="00F91CEB">
      <w:pPr>
        <w:rPr>
          <w:color w:val="538135" w:themeColor="accent6" w:themeShade="BF"/>
        </w:rPr>
      </w:pPr>
    </w:p>
    <w:p w:rsidR="00F91CEB" w:rsidRPr="00CC7088" w:rsidRDefault="00F91CEB">
      <w:pPr>
        <w:rPr>
          <w:color w:val="538135" w:themeColor="accent6" w:themeShade="BF"/>
        </w:rPr>
      </w:pPr>
    </w:p>
    <w:p w:rsidR="00F91CEB" w:rsidRDefault="00F91CEB">
      <w:pPr>
        <w:rPr>
          <w:color w:val="538135" w:themeColor="accent6" w:themeShade="BF"/>
        </w:rPr>
      </w:pP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F91CEB" w:rsidRPr="00296A08" w:rsidRDefault="000363B6" w:rsidP="00CC7088">
      <w:pPr>
        <w:pStyle w:val="a8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  <w:szCs w:val="21"/>
        </w:rPr>
      </w:pPr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 xml:space="preserve">ISF100P series are 100M unmanaged industrial Ethernet </w:t>
      </w:r>
      <w:r w:rsidR="00F32821" w:rsidRPr="00296A08">
        <w:rPr>
          <w:rFonts w:ascii="Arial" w:hAnsi="Arial" w:cs="Arial"/>
          <w:color w:val="7F7F7F" w:themeColor="text1" w:themeTint="80"/>
          <w:w w:val="95"/>
          <w:szCs w:val="21"/>
        </w:rPr>
        <w:t xml:space="preserve">switches. Support </w:t>
      </w:r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>4/6/8 100M electrical ports, support 1-2 Gigabit optical ports (SC)</w:t>
      </w:r>
      <w:r w:rsidR="00535F9E" w:rsidRPr="00296A08">
        <w:rPr>
          <w:rFonts w:ascii="Arial" w:hAnsi="Arial" w:cs="Arial" w:hint="eastAsia"/>
          <w:color w:val="7F7F7F" w:themeColor="text1" w:themeTint="80"/>
          <w:w w:val="95"/>
          <w:szCs w:val="21"/>
        </w:rPr>
        <w:t>.</w:t>
      </w:r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 xml:space="preserve"> support the Industrial Ethernet protocol can ensure the stability of the communication network; Adopts low power consumption</w:t>
      </w:r>
      <w:r w:rsidR="00535F9E" w:rsidRPr="00296A08">
        <w:rPr>
          <w:rFonts w:ascii="Arial" w:hAnsi="Arial" w:cs="Arial" w:hint="eastAsia"/>
          <w:color w:val="7F7F7F" w:themeColor="text1" w:themeTint="80"/>
          <w:w w:val="95"/>
          <w:szCs w:val="21"/>
        </w:rPr>
        <w:t>,</w:t>
      </w:r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 xml:space="preserve"> No fan design. Operating temperature of -40°C to 75°C, with super robustness, can adapt to various harsh </w:t>
      </w:r>
      <w:proofErr w:type="spellStart"/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>environments</w:t>
      </w:r>
      <w:proofErr w:type="gramStart"/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>,conveniently</w:t>
      </w:r>
      <w:proofErr w:type="spellEnd"/>
      <w:proofErr w:type="gramEnd"/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 xml:space="preserve"> placed in a compact control box. The installation characteristics of the guide rail, wide temperature operation, IP40 protection and LED indicator, make it </w:t>
      </w:r>
      <w:proofErr w:type="gramStart"/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>a plug</w:t>
      </w:r>
      <w:proofErr w:type="gramEnd"/>
      <w:r w:rsidRPr="00296A08">
        <w:rPr>
          <w:rFonts w:ascii="Arial" w:hAnsi="Arial" w:cs="Arial"/>
          <w:color w:val="7F7F7F" w:themeColor="text1" w:themeTint="80"/>
          <w:w w:val="95"/>
          <w:szCs w:val="21"/>
        </w:rPr>
        <w:t>-and-play industrial-grade equipment, providing a reliable and convenient solution for users' Ethernet equipment networking.</w:t>
      </w:r>
    </w:p>
    <w:p w:rsidR="00F91CEB" w:rsidRDefault="00F91CEB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CC7088" w:rsidRDefault="00CC7088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  <w:r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  <w:br w:type="page"/>
      </w: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</w:rPr>
        <w:lastRenderedPageBreak/>
        <w:t>Products Appearance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1"/>
        <w:gridCol w:w="5662"/>
      </w:tblGrid>
      <w:tr w:rsidR="00F91CEB" w:rsidTr="00D63286">
        <w:trPr>
          <w:trHeight w:val="1448"/>
          <w:jc w:val="center"/>
        </w:trPr>
        <w:tc>
          <w:tcPr>
            <w:tcW w:w="4831" w:type="dxa"/>
            <w:vAlign w:val="center"/>
          </w:tcPr>
          <w:p w:rsidR="00F91CEB" w:rsidRDefault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 w:rsidRPr="00CC7088"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ISF1005P</w:t>
            </w:r>
          </w:p>
          <w:p w:rsidR="00F91CEB" w:rsidRPr="007A049C" w:rsidRDefault="00CC7088" w:rsidP="00CC7088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7A049C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ports(POE/POE+),1*100Base-FX SC Port,</w:t>
            </w:r>
            <w:r w:rsidR="000363B6" w:rsidRPr="007A049C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 w:rsidRPr="007A049C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="000363B6" w:rsidRPr="007A049C">
              <w:rPr>
                <w:rFonts w:ascii="Arial" w:hAnsi="Arial" w:cs="Arial"/>
                <w:sz w:val="18"/>
                <w:szCs w:val="18"/>
              </w:rPr>
              <w:t>-40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="000363B6" w:rsidRPr="007A049C">
              <w:rPr>
                <w:rFonts w:ascii="Arial" w:hAnsi="Arial" w:cs="Arial"/>
                <w:sz w:val="18"/>
                <w:szCs w:val="18"/>
              </w:rPr>
              <w:t>～</w:t>
            </w:r>
            <w:r w:rsidR="000363B6" w:rsidRPr="007A049C">
              <w:rPr>
                <w:rFonts w:ascii="Arial" w:hAnsi="Arial" w:cs="Arial"/>
                <w:sz w:val="18"/>
                <w:szCs w:val="18"/>
              </w:rPr>
              <w:t>75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7A04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62" w:type="dxa"/>
            <w:vAlign w:val="center"/>
          </w:tcPr>
          <w:p w:rsidR="00F91CEB" w:rsidRDefault="000363B6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0F5A1BED" wp14:editId="0EEE16C3">
                  <wp:extent cx="1546225" cy="667385"/>
                  <wp:effectExtent l="0" t="0" r="8255" b="3175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D63286">
        <w:trPr>
          <w:trHeight w:val="1254"/>
          <w:jc w:val="center"/>
        </w:trPr>
        <w:tc>
          <w:tcPr>
            <w:tcW w:w="4831" w:type="dxa"/>
            <w:vAlign w:val="center"/>
          </w:tcPr>
          <w:p w:rsidR="00CC7088" w:rsidRDefault="00CC7088" w:rsidP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 w:rsidRPr="00CC7088"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ISF1005</w:t>
            </w:r>
            <w:r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T</w:t>
            </w:r>
            <w:r w:rsidRPr="00CC7088"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P</w:t>
            </w:r>
          </w:p>
          <w:p w:rsidR="00CC7088" w:rsidRDefault="00CC7088" w:rsidP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1*10/100 Base-TX  Port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 xml:space="preserve"> 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662" w:type="dxa"/>
            <w:vAlign w:val="center"/>
          </w:tcPr>
          <w:p w:rsidR="00CC7088" w:rsidRDefault="0072403F">
            <w:pPr>
              <w:pStyle w:val="a8"/>
              <w:ind w:firstLineChars="0" w:firstLine="0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5DBE72E2" wp14:editId="6E4A3DF6">
                  <wp:extent cx="1876191" cy="857143"/>
                  <wp:effectExtent l="0" t="0" r="0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191" cy="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EB" w:rsidTr="00D63286">
        <w:trPr>
          <w:trHeight w:val="1534"/>
          <w:jc w:val="center"/>
        </w:trPr>
        <w:tc>
          <w:tcPr>
            <w:tcW w:w="4831" w:type="dxa"/>
            <w:vAlign w:val="center"/>
          </w:tcPr>
          <w:p w:rsidR="00F91CEB" w:rsidRDefault="000363B6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ISF1006P</w:t>
            </w:r>
          </w:p>
          <w:p w:rsidR="00F91CEB" w:rsidRDefault="00CC7088" w:rsidP="00CC7088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 xml:space="preserve"> 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662" w:type="dxa"/>
            <w:vAlign w:val="center"/>
          </w:tcPr>
          <w:p w:rsidR="00F91CEB" w:rsidRDefault="000363B6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711E1C33" wp14:editId="2B2CC27F">
                  <wp:extent cx="1506855" cy="695325"/>
                  <wp:effectExtent l="0" t="0" r="1905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D63286">
        <w:trPr>
          <w:trHeight w:val="1410"/>
          <w:jc w:val="center"/>
        </w:trPr>
        <w:tc>
          <w:tcPr>
            <w:tcW w:w="4831" w:type="dxa"/>
            <w:vAlign w:val="center"/>
          </w:tcPr>
          <w:p w:rsidR="00CC7088" w:rsidRDefault="00CC7088" w:rsidP="00961580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ISF1008P</w:t>
            </w:r>
          </w:p>
          <w:p w:rsidR="00CC7088" w:rsidRDefault="00CC7088" w:rsidP="00CC7088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6*10/100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662" w:type="dxa"/>
            <w:vAlign w:val="center"/>
          </w:tcPr>
          <w:p w:rsidR="00CC7088" w:rsidRDefault="00CC7088" w:rsidP="00961580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63F7B545" wp14:editId="30F20025">
                  <wp:extent cx="1682750" cy="725170"/>
                  <wp:effectExtent l="0" t="0" r="889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D63286">
        <w:trPr>
          <w:trHeight w:val="1402"/>
          <w:jc w:val="center"/>
        </w:trPr>
        <w:tc>
          <w:tcPr>
            <w:tcW w:w="4831" w:type="dxa"/>
            <w:vAlign w:val="center"/>
          </w:tcPr>
          <w:p w:rsidR="00CC7088" w:rsidRDefault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ISF1008</w:t>
            </w:r>
            <w:r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P</w:t>
            </w:r>
          </w:p>
          <w:p w:rsidR="00CC7088" w:rsidRDefault="00CC7088" w:rsidP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662" w:type="dxa"/>
            <w:vAlign w:val="center"/>
          </w:tcPr>
          <w:p w:rsidR="00CC7088" w:rsidRDefault="0072403F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94F102" wp14:editId="6EEEC53F">
                  <wp:extent cx="1761905" cy="98095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D63286">
        <w:trPr>
          <w:trHeight w:val="1396"/>
          <w:jc w:val="center"/>
        </w:trPr>
        <w:tc>
          <w:tcPr>
            <w:tcW w:w="4831" w:type="dxa"/>
            <w:vAlign w:val="center"/>
          </w:tcPr>
          <w:p w:rsidR="00CC7088" w:rsidRDefault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</w:t>
            </w:r>
            <w:r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9P</w:t>
            </w:r>
          </w:p>
          <w:p w:rsidR="00CC7088" w:rsidRDefault="00CC7088" w:rsidP="00CC7088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662" w:type="dxa"/>
            <w:vAlign w:val="center"/>
          </w:tcPr>
          <w:p w:rsidR="00CC7088" w:rsidRDefault="00CC7088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780A5C29" wp14:editId="407E85DC">
                  <wp:extent cx="1821815" cy="857250"/>
                  <wp:effectExtent l="0" t="0" r="6985" b="1143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D63286">
        <w:trPr>
          <w:trHeight w:val="1673"/>
          <w:jc w:val="center"/>
        </w:trPr>
        <w:tc>
          <w:tcPr>
            <w:tcW w:w="4831" w:type="dxa"/>
            <w:vAlign w:val="center"/>
          </w:tcPr>
          <w:p w:rsidR="00CC7088" w:rsidRDefault="00CC7088" w:rsidP="00961580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</w:t>
            </w:r>
            <w:r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9TP</w:t>
            </w:r>
          </w:p>
          <w:p w:rsidR="00CC7088" w:rsidRDefault="00CC7088" w:rsidP="00961580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1*10/100 Base-TX  Port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7A049C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662" w:type="dxa"/>
            <w:vAlign w:val="center"/>
          </w:tcPr>
          <w:p w:rsidR="00CC7088" w:rsidRDefault="0072403F" w:rsidP="00961580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CA488E" wp14:editId="464E2F6D">
                  <wp:extent cx="1733333" cy="876191"/>
                  <wp:effectExtent l="0" t="0" r="635" b="63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33" cy="8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Main Features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Using high-quality photoelectric integrated modules to provide good optical and electrical characteristics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Ensure reliable data transmission and long working life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 full-duplex or half-duplex mode with auto-negotiation capability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network port supports automatic cross-recognition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Built-in store and forward mechanism, support multiple protocols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line with industrial-grade operation standards, the average trouble-free work is more than 300,000 hours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Working power supply: DC 12-52V, 48-57V to provide reverse connection protection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Using SFP fiber interface</w:t>
      </w:r>
    </w:p>
    <w:p w:rsidR="00F91CEB" w:rsidRDefault="000363B6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Lightning surge protection (power supply): 5000A (8/20μs)</w:t>
      </w:r>
    </w:p>
    <w:p w:rsidR="00F91CEB" w:rsidRDefault="000363B6" w:rsidP="00CC7088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1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325"/>
        <w:gridCol w:w="1369"/>
        <w:gridCol w:w="1282"/>
        <w:gridCol w:w="1326"/>
        <w:gridCol w:w="1325"/>
        <w:gridCol w:w="1326"/>
        <w:gridCol w:w="1326"/>
      </w:tblGrid>
      <w:tr w:rsidR="007E4554" w:rsidTr="00FD62FE">
        <w:trPr>
          <w:cantSplit/>
          <w:trHeight w:val="528"/>
          <w:jc w:val="center"/>
        </w:trPr>
        <w:tc>
          <w:tcPr>
            <w:tcW w:w="11494" w:type="dxa"/>
            <w:gridSpan w:val="8"/>
            <w:tcBorders>
              <w:bottom w:val="single" w:sz="4" w:space="0" w:color="auto"/>
            </w:tcBorders>
            <w:shd w:val="clear" w:color="000000" w:fill="ED7D31" w:themeFill="accent2"/>
            <w:vAlign w:val="center"/>
          </w:tcPr>
          <w:p w:rsidR="007E4554" w:rsidRDefault="007E4554" w:rsidP="00FD62FE">
            <w:pPr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FD62FE">
              <w:rPr>
                <w:rFonts w:ascii="Arial" w:hAnsi="Arial" w:cs="Arial"/>
                <w:b/>
                <w:sz w:val="20"/>
              </w:rPr>
              <w:t>Product Information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860753" w:rsidP="00535F9E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7E4554" w:rsidP="00535F9E">
            <w:pPr>
              <w:pStyle w:val="a8"/>
              <w:tabs>
                <w:tab w:val="left" w:pos="1275"/>
              </w:tabs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ISF1005P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ISF1005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T</w:t>
            </w: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ISF1006P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ISF1008P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ISF100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8T</w:t>
            </w: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ISF1009P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7E4554" w:rsidRPr="006E1FBE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ISF1009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T</w:t>
            </w: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P</w:t>
            </w:r>
          </w:p>
        </w:tc>
      </w:tr>
      <w:tr w:rsidR="007E4554" w:rsidTr="00FD62FE">
        <w:trPr>
          <w:cantSplit/>
          <w:trHeight w:val="496"/>
          <w:jc w:val="center"/>
        </w:trPr>
        <w:tc>
          <w:tcPr>
            <w:tcW w:w="11494" w:type="dxa"/>
            <w:gridSpan w:val="8"/>
            <w:shd w:val="clear" w:color="000000" w:fill="ED7D31" w:themeFill="accent2"/>
            <w:vAlign w:val="center"/>
          </w:tcPr>
          <w:p w:rsidR="007E4554" w:rsidRPr="00FD62FE" w:rsidRDefault="007E4554" w:rsidP="00FD62FE">
            <w:pPr>
              <w:rPr>
                <w:rFonts w:ascii="Arial" w:hAnsi="Arial" w:cs="Arial"/>
                <w:b/>
              </w:rPr>
            </w:pPr>
            <w:r w:rsidRPr="00FD62FE">
              <w:rPr>
                <w:rFonts w:ascii="Arial" w:hAnsi="Arial" w:cs="Arial"/>
                <w:b/>
                <w:sz w:val="20"/>
              </w:rPr>
              <w:t>Hardware specifications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Ports</w:t>
            </w:r>
          </w:p>
        </w:tc>
        <w:tc>
          <w:tcPr>
            <w:tcW w:w="1325" w:type="dxa"/>
            <w:vAlign w:val="center"/>
          </w:tcPr>
          <w:p w:rsidR="007E4554" w:rsidRP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</w:p>
        </w:tc>
        <w:tc>
          <w:tcPr>
            <w:tcW w:w="1369" w:type="dxa"/>
            <w:vAlign w:val="center"/>
          </w:tcPr>
          <w:p w:rsidR="007E4554" w:rsidRP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1*10/100 Base-TX  Port</w:t>
            </w:r>
          </w:p>
        </w:tc>
        <w:tc>
          <w:tcPr>
            <w:tcW w:w="1282" w:type="dxa"/>
            <w:vAlign w:val="center"/>
          </w:tcPr>
          <w:p w:rsidR="007E4554" w:rsidRP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</w:p>
        </w:tc>
        <w:tc>
          <w:tcPr>
            <w:tcW w:w="1326" w:type="dxa"/>
            <w:vAlign w:val="center"/>
          </w:tcPr>
          <w:p w:rsidR="007E4554" w:rsidRP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6*10/100 Base-TX ports(POE/POE+)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</w:p>
        </w:tc>
        <w:tc>
          <w:tcPr>
            <w:tcW w:w="1325" w:type="dxa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</w:p>
        </w:tc>
        <w:tc>
          <w:tcPr>
            <w:tcW w:w="1326" w:type="dxa"/>
            <w:vAlign w:val="center"/>
          </w:tcPr>
          <w:p w:rsidR="007E4554" w:rsidRP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</w:p>
        </w:tc>
        <w:tc>
          <w:tcPr>
            <w:tcW w:w="1326" w:type="dxa"/>
            <w:vAlign w:val="center"/>
          </w:tcPr>
          <w:p w:rsidR="007E4554" w:rsidRP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1*10/100 Base-TX  Port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Operating temperature</w:t>
            </w:r>
          </w:p>
        </w:tc>
        <w:tc>
          <w:tcPr>
            <w:tcW w:w="9279" w:type="dxa"/>
            <w:gridSpan w:val="7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-40~75°C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Storage temperature</w:t>
            </w:r>
          </w:p>
        </w:tc>
        <w:tc>
          <w:tcPr>
            <w:tcW w:w="9279" w:type="dxa"/>
            <w:gridSpan w:val="7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-40~85°C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Relative humidity</w:t>
            </w:r>
          </w:p>
        </w:tc>
        <w:tc>
          <w:tcPr>
            <w:tcW w:w="9279" w:type="dxa"/>
            <w:gridSpan w:val="7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95% No condensation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Power characteristics</w:t>
            </w:r>
          </w:p>
        </w:tc>
        <w:tc>
          <w:tcPr>
            <w:tcW w:w="9279" w:type="dxa"/>
            <w:gridSpan w:val="7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 xml:space="preserve">Output 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DC 48-57V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dual power supply redundancy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built-in overcurrent 4.0A protection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reverse connection protection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Packet buffer</w:t>
            </w:r>
          </w:p>
        </w:tc>
        <w:tc>
          <w:tcPr>
            <w:tcW w:w="1325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1369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1282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1326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1325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1326" w:type="dxa"/>
            <w:vAlign w:val="center"/>
          </w:tcPr>
          <w:p w:rsidR="007E4554" w:rsidRDefault="00014E32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1326" w:type="dxa"/>
            <w:vAlign w:val="center"/>
          </w:tcPr>
          <w:p w:rsidR="007E4554" w:rsidRDefault="00014E32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1.25M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MAC Address</w:t>
            </w:r>
          </w:p>
        </w:tc>
        <w:tc>
          <w:tcPr>
            <w:tcW w:w="1325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E4554"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1369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E4554"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1282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E4554"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1326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E4554"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1325" w:type="dxa"/>
            <w:vAlign w:val="center"/>
          </w:tcPr>
          <w:p w:rsidR="007E4554" w:rsidRDefault="00014E32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E4554"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1326" w:type="dxa"/>
            <w:vAlign w:val="center"/>
          </w:tcPr>
          <w:p w:rsidR="007E4554" w:rsidRDefault="00014E32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1326" w:type="dxa"/>
            <w:vAlign w:val="center"/>
          </w:tcPr>
          <w:p w:rsidR="007E4554" w:rsidRDefault="00014E32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Whole machine power consumption</w:t>
            </w:r>
          </w:p>
        </w:tc>
        <w:tc>
          <w:tcPr>
            <w:tcW w:w="1325" w:type="dxa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&lt;5W</w:t>
            </w:r>
          </w:p>
        </w:tc>
        <w:tc>
          <w:tcPr>
            <w:tcW w:w="1369" w:type="dxa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&lt;5W</w:t>
            </w:r>
          </w:p>
        </w:tc>
        <w:tc>
          <w:tcPr>
            <w:tcW w:w="1282" w:type="dxa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&lt;5W</w:t>
            </w:r>
          </w:p>
        </w:tc>
        <w:tc>
          <w:tcPr>
            <w:tcW w:w="1326" w:type="dxa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&lt;5W</w:t>
            </w:r>
          </w:p>
        </w:tc>
        <w:tc>
          <w:tcPr>
            <w:tcW w:w="1325" w:type="dxa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&lt;5W</w:t>
            </w:r>
          </w:p>
        </w:tc>
        <w:tc>
          <w:tcPr>
            <w:tcW w:w="1326" w:type="dxa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&lt;10W</w:t>
            </w:r>
          </w:p>
        </w:tc>
        <w:tc>
          <w:tcPr>
            <w:tcW w:w="1326" w:type="dxa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&lt;10W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Network protocol</w:t>
            </w:r>
          </w:p>
        </w:tc>
        <w:tc>
          <w:tcPr>
            <w:tcW w:w="9279" w:type="dxa"/>
            <w:gridSpan w:val="7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IEEE802.3 10BASE-T ; IEEE802.3i 10Base-T;IEEE802.3u ;100Base-TX/FX;IEEE802.3x;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Industry Standard</w:t>
            </w:r>
          </w:p>
        </w:tc>
        <w:tc>
          <w:tcPr>
            <w:tcW w:w="9279" w:type="dxa"/>
            <w:gridSpan w:val="7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EMI :FCC Part 15 Subpart B Class 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EN 55022 Class A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EMS :IEC(EN)61000-4-2(ESD):±8kV contact discharge,±15kV air discharge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IEC(EN)61000-4-3(RS):10V/m(80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1000MHz)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IEC(EN)61000-4-4(EFT):power cable:±4kV;data cable : 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IEC(EN)61000-4-5(Surge):power cable:±4kV CM/±2kV DM ; data cable:±2kV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IEC(EN)61000-4-6(Radio frequency conduction):3V(10kHz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150kHz),10V(150kHz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IEC(EN)61000-4-16(Common mode conduction):30V cont. 300V,1s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 )61000-4-8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Shock:IEC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60068-2-27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Freefall:IEC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60068-2-32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Vibration:IEC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60068-2-6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Mechanical properties</w:t>
            </w:r>
          </w:p>
        </w:tc>
        <w:tc>
          <w:tcPr>
            <w:tcW w:w="9279" w:type="dxa"/>
            <w:gridSpan w:val="7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Housing: metal 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Installation: DIN rail type, wall-mounted installation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Cooling method: natural cooling, no fan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POE features</w:t>
            </w:r>
          </w:p>
        </w:tc>
        <w:tc>
          <w:tcPr>
            <w:tcW w:w="9279" w:type="dxa"/>
            <w:gridSpan w:val="7"/>
            <w:vAlign w:val="center"/>
          </w:tcPr>
          <w:p w:rsidR="007E4554" w:rsidRDefault="007E4554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Standard PoE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IEEE802.3af/ IEEE802.3at</w:t>
            </w:r>
          </w:p>
          <w:p w:rsidR="007E4554" w:rsidRDefault="007E4554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Output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Power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Maximum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power 15.4W (IEEE 802.3af)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Maximum power 30W (IEEE 802.3at) 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POEAutomatic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port recognition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af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>/at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Size</w:t>
            </w:r>
          </w:p>
        </w:tc>
        <w:tc>
          <w:tcPr>
            <w:tcW w:w="2694" w:type="dxa"/>
            <w:gridSpan w:val="2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118(L)*86(W)*3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(H)mm</w:t>
            </w:r>
          </w:p>
        </w:tc>
        <w:tc>
          <w:tcPr>
            <w:tcW w:w="6585" w:type="dxa"/>
            <w:gridSpan w:val="5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143(L)*10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(W)*44(H)mm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Protection level</w:t>
            </w:r>
          </w:p>
        </w:tc>
        <w:tc>
          <w:tcPr>
            <w:tcW w:w="9279" w:type="dxa"/>
            <w:gridSpan w:val="7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</w:p>
        </w:tc>
      </w:tr>
      <w:tr w:rsidR="00F91CEB" w:rsidTr="004A3648">
        <w:trPr>
          <w:cantSplit/>
          <w:jc w:val="center"/>
        </w:trPr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Mean time between failures</w:t>
            </w:r>
          </w:p>
        </w:tc>
        <w:tc>
          <w:tcPr>
            <w:tcW w:w="9279" w:type="dxa"/>
            <w:gridSpan w:val="7"/>
            <w:tcBorders>
              <w:bottom w:val="single" w:sz="4" w:space="0" w:color="auto"/>
            </w:tcBorders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300,000 hours</w:t>
            </w:r>
          </w:p>
        </w:tc>
      </w:tr>
      <w:tr w:rsidR="007E4554" w:rsidTr="00FD62FE">
        <w:trPr>
          <w:cantSplit/>
          <w:trHeight w:val="535"/>
          <w:jc w:val="center"/>
        </w:trPr>
        <w:tc>
          <w:tcPr>
            <w:tcW w:w="11494" w:type="dxa"/>
            <w:gridSpan w:val="8"/>
            <w:shd w:val="clear" w:color="auto" w:fill="ED7D31" w:themeFill="accent2"/>
            <w:vAlign w:val="center"/>
          </w:tcPr>
          <w:p w:rsidR="007E4554" w:rsidRDefault="007E4554" w:rsidP="00FD62FE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b/>
                <w:sz w:val="20"/>
              </w:rPr>
              <w:t>Software specifications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Standard</w:t>
            </w:r>
          </w:p>
        </w:tc>
        <w:tc>
          <w:tcPr>
            <w:tcW w:w="9279" w:type="dxa"/>
            <w:gridSpan w:val="7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IEEE 802.3, IEEE 802.3u, IEEE 802.3x, IEEE 802.3ab</w:t>
            </w:r>
          </w:p>
        </w:tc>
      </w:tr>
      <w:tr w:rsidR="007E4554" w:rsidTr="004A3648">
        <w:trPr>
          <w:cantSplit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9279" w:type="dxa"/>
            <w:gridSpan w:val="7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</w:tbl>
    <w:p w:rsidR="00FD62FE" w:rsidRPr="003D0AE7" w:rsidRDefault="00FD62FE" w:rsidP="00FD62FE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FD62FE" w:rsidRPr="006877D6" w:rsidTr="004B12C2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FD62FE" w:rsidRPr="00954FD0" w:rsidRDefault="00FD62FE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FD62FE" w:rsidRPr="00954FD0" w:rsidRDefault="00FD62FE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  <w:bookmarkStart w:id="0" w:name="_GoBack"/>
            <w:bookmarkEnd w:id="0"/>
          </w:p>
        </w:tc>
      </w:tr>
      <w:tr w:rsidR="00FD62FE" w:rsidRPr="006877D6" w:rsidTr="00FD62FE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62FE" w:rsidRPr="00FD62FE" w:rsidRDefault="00FD62FE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eastAsia="Arial Unicode MS" w:hAnsi="Arial" w:cs="Arial"/>
                <w:kern w:val="0"/>
                <w:sz w:val="18"/>
                <w:szCs w:val="18"/>
              </w:rPr>
              <w:t>ISF1005P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62FE" w:rsidRPr="00FD62FE" w:rsidRDefault="00FD62FE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</w:p>
        </w:tc>
      </w:tr>
      <w:tr w:rsidR="00FD62FE" w:rsidRPr="006877D6" w:rsidTr="00FD62FE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62FE" w:rsidRPr="00FD62FE" w:rsidRDefault="009E259A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ISF1005TP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62FE" w:rsidRPr="00FD62FE" w:rsidRDefault="00FD62FE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1*10/100 Base-TX  Port</w:t>
            </w:r>
          </w:p>
        </w:tc>
      </w:tr>
      <w:tr w:rsidR="00FD62FE" w:rsidRPr="006877D6" w:rsidTr="00FD62FE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62FE" w:rsidRPr="00FD62FE" w:rsidRDefault="009E259A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ISF1006P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62FE" w:rsidRPr="00FD62FE" w:rsidRDefault="00FD62FE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</w:p>
        </w:tc>
      </w:tr>
      <w:tr w:rsidR="00FD62FE" w:rsidRPr="006877D6" w:rsidTr="00FD62FE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62FE" w:rsidRPr="00FD62FE" w:rsidRDefault="009E259A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ISF1008P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62FE" w:rsidRPr="00FD62FE" w:rsidRDefault="00FD62FE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6*10/100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</w:p>
        </w:tc>
      </w:tr>
      <w:tr w:rsidR="00FD62FE" w:rsidRPr="006877D6" w:rsidTr="00FD62FE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62FE" w:rsidRPr="00FD62FE" w:rsidRDefault="009E259A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ISF1008TP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62FE" w:rsidRPr="00FD62FE" w:rsidRDefault="00FD62FE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</w:p>
        </w:tc>
      </w:tr>
      <w:tr w:rsidR="00FD62FE" w:rsidRPr="006877D6" w:rsidTr="00FD62FE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FD62FE" w:rsidRPr="00FD62FE" w:rsidRDefault="009E259A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ISF1009P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FD62FE" w:rsidRPr="00FD62FE" w:rsidRDefault="00FD62FE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</w:p>
        </w:tc>
      </w:tr>
      <w:tr w:rsidR="00FD62FE" w:rsidRPr="006877D6" w:rsidTr="004B12C2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2FE" w:rsidRPr="00FD62FE" w:rsidRDefault="009E259A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ISF1009TP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2FE" w:rsidRPr="00FD62FE" w:rsidRDefault="00FD62FE" w:rsidP="00FD62F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FD62FE">
              <w:rPr>
                <w:rFonts w:ascii="Arial" w:hAnsi="Arial" w:cs="Arial"/>
                <w:kern w:val="0"/>
                <w:sz w:val="18"/>
                <w:szCs w:val="18"/>
              </w:rPr>
              <w:t>1*10/100 Base-TX  Port</w:t>
            </w:r>
          </w:p>
        </w:tc>
      </w:tr>
    </w:tbl>
    <w:p w:rsidR="00FD62FE" w:rsidRPr="00FD62FE" w:rsidRDefault="00FD62FE" w:rsidP="00FD62FE">
      <w:pPr>
        <w:rPr>
          <w:rFonts w:hint="eastAsia"/>
        </w:rPr>
      </w:pPr>
    </w:p>
    <w:p w:rsidR="00F91CEB" w:rsidRDefault="000363B6" w:rsidP="0072403F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</w:t>
      </w:r>
      <w:r w:rsidRPr="0072403F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Application</w:t>
      </w: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 </w:t>
      </w:r>
    </w:p>
    <w:p w:rsidR="00A428A5" w:rsidRDefault="000363B6" w:rsidP="0072403F">
      <w:pPr>
        <w:jc w:val="center"/>
      </w:pPr>
      <w:r>
        <w:rPr>
          <w:noProof/>
        </w:rPr>
        <w:drawing>
          <wp:inline distT="0" distB="0" distL="114300" distR="114300">
            <wp:extent cx="4144010" cy="2585085"/>
            <wp:effectExtent l="0" t="0" r="1270" b="5715"/>
            <wp:docPr id="13" name="图片 11" descr="说明: 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说明: 连接图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A5" w:rsidRDefault="00A428A5">
      <w:pPr>
        <w:widowControl/>
        <w:jc w:val="left"/>
      </w:pPr>
    </w:p>
    <w:p w:rsidR="00A428A5" w:rsidRDefault="00A428A5" w:rsidP="00A428A5">
      <w:pPr>
        <w:jc w:val="left"/>
      </w:pPr>
    </w:p>
    <w:p w:rsidR="004A3648" w:rsidRDefault="004A3648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  <w:rPr>
          <w:rFonts w:hint="eastAsia"/>
        </w:rPr>
      </w:pPr>
    </w:p>
    <w:p w:rsidR="009E259A" w:rsidRDefault="009E259A" w:rsidP="00A428A5">
      <w:pPr>
        <w:jc w:val="left"/>
      </w:pPr>
    </w:p>
    <w:p w:rsidR="004A3648" w:rsidRDefault="004A3648" w:rsidP="00A428A5">
      <w:pPr>
        <w:jc w:val="left"/>
      </w:pPr>
    </w:p>
    <w:p w:rsidR="00A428A5" w:rsidRDefault="00A428A5" w:rsidP="00A428A5">
      <w:pPr>
        <w:jc w:val="left"/>
      </w:pPr>
    </w:p>
    <w:p w:rsidR="00A428A5" w:rsidRDefault="00A428A5" w:rsidP="00A428A5">
      <w:pPr>
        <w:jc w:val="left"/>
      </w:pPr>
    </w:p>
    <w:p w:rsidR="00A428A5" w:rsidRDefault="00A428A5" w:rsidP="00A428A5">
      <w:pPr>
        <w:jc w:val="left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91CEB">
        <w:trPr>
          <w:trHeight w:val="266"/>
          <w:jc w:val="center"/>
        </w:trPr>
        <w:tc>
          <w:tcPr>
            <w:tcW w:w="10466" w:type="dxa"/>
          </w:tcPr>
          <w:p w:rsidR="00F91CEB" w:rsidRDefault="00A428A5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br w:type="page"/>
            </w:r>
            <w:r w:rsidR="000363B6"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Community,Dalang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Street,Longhua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District,Shenzhen</w:t>
            </w:r>
            <w:proofErr w:type="spellEnd"/>
          </w:p>
          <w:p w:rsidR="00F91CEB" w:rsidRDefault="00F91CEB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35F9E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F91CEB" w:rsidRDefault="000363B6" w:rsidP="00535F9E">
            <w:pPr>
              <w:jc w:val="left"/>
            </w:pPr>
            <w:r>
              <w:rPr>
                <w:rFonts w:ascii="Arial" w:hAnsi="Arial" w:cs="Arial"/>
                <w:color w:val="5C5C5C"/>
                <w:szCs w:val="21"/>
              </w:rPr>
              <w:t>E-mail:</w:t>
            </w:r>
            <w:r w:rsidR="00535F9E"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>
              <w:rPr>
                <w:rFonts w:ascii="Arial" w:hAnsi="Arial" w:cs="Arial" w:hint="eastAsia"/>
                <w:color w:val="5C5C5C"/>
                <w:szCs w:val="21"/>
              </w:rPr>
              <w:t>cherry.tan@tg-net.net</w:t>
            </w:r>
          </w:p>
        </w:tc>
      </w:tr>
    </w:tbl>
    <w:p w:rsidR="00F91CEB" w:rsidRDefault="00F91CEB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F91CEB">
      <w:headerReference w:type="default" r:id="rId19"/>
      <w:footerReference w:type="default" r:id="rId20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7D" w:rsidRDefault="00CF747D">
      <w:r>
        <w:separator/>
      </w:r>
    </w:p>
  </w:endnote>
  <w:endnote w:type="continuationSeparator" w:id="0">
    <w:p w:rsidR="00CF747D" w:rsidRDefault="00CF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</w:sdtPr>
    <w:sdtEndPr/>
    <w:sdtContent>
      <w:sdt>
        <w:sdtPr>
          <w:id w:val="98381352"/>
        </w:sdtPr>
        <w:sdtEndPr/>
        <w:sdtContent>
          <w:p w:rsidR="00F91CEB" w:rsidRDefault="000363B6">
            <w:pPr>
              <w:pStyle w:val="a4"/>
            </w:pP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D63286"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D63286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7D" w:rsidRDefault="00CF747D">
      <w:r>
        <w:separator/>
      </w:r>
    </w:p>
  </w:footnote>
  <w:footnote w:type="continuationSeparator" w:id="0">
    <w:p w:rsidR="00CF747D" w:rsidRDefault="00CF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B" w:rsidRDefault="000363B6">
    <w:pPr>
      <w:pStyle w:val="a5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14E32"/>
    <w:rsid w:val="00024FA6"/>
    <w:rsid w:val="000363B6"/>
    <w:rsid w:val="0004458C"/>
    <w:rsid w:val="0005549E"/>
    <w:rsid w:val="000805AB"/>
    <w:rsid w:val="00094C93"/>
    <w:rsid w:val="000C333E"/>
    <w:rsid w:val="001259D5"/>
    <w:rsid w:val="001918DE"/>
    <w:rsid w:val="002967AD"/>
    <w:rsid w:val="00296A08"/>
    <w:rsid w:val="002A01EB"/>
    <w:rsid w:val="002C7B0A"/>
    <w:rsid w:val="002D60E4"/>
    <w:rsid w:val="003A3DD6"/>
    <w:rsid w:val="003E6887"/>
    <w:rsid w:val="003E763F"/>
    <w:rsid w:val="003F0993"/>
    <w:rsid w:val="0040041B"/>
    <w:rsid w:val="00453666"/>
    <w:rsid w:val="004A3648"/>
    <w:rsid w:val="00514641"/>
    <w:rsid w:val="00522B02"/>
    <w:rsid w:val="00535F9E"/>
    <w:rsid w:val="00580ED6"/>
    <w:rsid w:val="005D67BA"/>
    <w:rsid w:val="005D740C"/>
    <w:rsid w:val="005E02DC"/>
    <w:rsid w:val="005F1431"/>
    <w:rsid w:val="00642302"/>
    <w:rsid w:val="00680B0E"/>
    <w:rsid w:val="00686C42"/>
    <w:rsid w:val="0069233A"/>
    <w:rsid w:val="006C3396"/>
    <w:rsid w:val="006C73C0"/>
    <w:rsid w:val="006D49E6"/>
    <w:rsid w:val="006E187A"/>
    <w:rsid w:val="006E1FBE"/>
    <w:rsid w:val="006F3736"/>
    <w:rsid w:val="00701288"/>
    <w:rsid w:val="00717CBF"/>
    <w:rsid w:val="0072403F"/>
    <w:rsid w:val="00763FCD"/>
    <w:rsid w:val="0078764A"/>
    <w:rsid w:val="007937D6"/>
    <w:rsid w:val="007A049C"/>
    <w:rsid w:val="007A6DA5"/>
    <w:rsid w:val="007E398A"/>
    <w:rsid w:val="007E4554"/>
    <w:rsid w:val="00805CDE"/>
    <w:rsid w:val="00860753"/>
    <w:rsid w:val="009E259A"/>
    <w:rsid w:val="00A428A5"/>
    <w:rsid w:val="00A502BA"/>
    <w:rsid w:val="00A90240"/>
    <w:rsid w:val="00AB2E2A"/>
    <w:rsid w:val="00B07D34"/>
    <w:rsid w:val="00B10705"/>
    <w:rsid w:val="00B16053"/>
    <w:rsid w:val="00B60CCE"/>
    <w:rsid w:val="00B8783F"/>
    <w:rsid w:val="00BA39A5"/>
    <w:rsid w:val="00BD58D1"/>
    <w:rsid w:val="00C100BC"/>
    <w:rsid w:val="00C41F0D"/>
    <w:rsid w:val="00CA4321"/>
    <w:rsid w:val="00CC4D59"/>
    <w:rsid w:val="00CC7088"/>
    <w:rsid w:val="00CE17A3"/>
    <w:rsid w:val="00CF747D"/>
    <w:rsid w:val="00CF7D2E"/>
    <w:rsid w:val="00D07BBC"/>
    <w:rsid w:val="00D5702D"/>
    <w:rsid w:val="00D63286"/>
    <w:rsid w:val="00D66C01"/>
    <w:rsid w:val="00D763AF"/>
    <w:rsid w:val="00D940C4"/>
    <w:rsid w:val="00DC786D"/>
    <w:rsid w:val="00E05C8E"/>
    <w:rsid w:val="00E11FCB"/>
    <w:rsid w:val="00E657AF"/>
    <w:rsid w:val="00E92C58"/>
    <w:rsid w:val="00E96E4D"/>
    <w:rsid w:val="00F078D5"/>
    <w:rsid w:val="00F12E76"/>
    <w:rsid w:val="00F32821"/>
    <w:rsid w:val="00F53A40"/>
    <w:rsid w:val="00F83679"/>
    <w:rsid w:val="00F91CEB"/>
    <w:rsid w:val="00FA0075"/>
    <w:rsid w:val="00FB0F2E"/>
    <w:rsid w:val="00FC5FB1"/>
    <w:rsid w:val="00FD62FE"/>
    <w:rsid w:val="04C73925"/>
    <w:rsid w:val="07C21596"/>
    <w:rsid w:val="27056304"/>
    <w:rsid w:val="29C8772C"/>
    <w:rsid w:val="31E815AF"/>
    <w:rsid w:val="4ED54BA3"/>
    <w:rsid w:val="50B97F09"/>
    <w:rsid w:val="52AD63C6"/>
    <w:rsid w:val="5626407A"/>
    <w:rsid w:val="644B54A3"/>
    <w:rsid w:val="6B5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0F5A2-F6E4-473E-AE2F-71E425CE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726</Words>
  <Characters>4139</Characters>
  <Application>Microsoft Office Word</Application>
  <DocSecurity>0</DocSecurity>
  <Lines>34</Lines>
  <Paragraphs>9</Paragraphs>
  <ScaleCrop>false</ScaleCrop>
  <Company>TG-NET.cn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60</cp:revision>
  <cp:lastPrinted>2021-09-19T07:59:00Z</cp:lastPrinted>
  <dcterms:created xsi:type="dcterms:W3CDTF">2018-04-02T02:43:00Z</dcterms:created>
  <dcterms:modified xsi:type="dcterms:W3CDTF">2021-11-03T07:37:00Z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8A110FA26A7C4C6EA7FCC5551350053F</vt:lpwstr>
  </property>
</Properties>
</file>