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F90BA6" w:rsidRDefault="00F90BA6" w:rsidP="005D67BA"/>
    <w:p w:rsidR="00F90BA6" w:rsidRDefault="00F90BA6" w:rsidP="005D67BA"/>
    <w:p w:rsidR="00F90BA6" w:rsidRDefault="00F90BA6" w:rsidP="005D67BA"/>
    <w:p w:rsidR="00F90BA6" w:rsidRDefault="00F90BA6" w:rsidP="005D67BA"/>
    <w:p w:rsidR="00F90BA6" w:rsidRDefault="00F90BA6" w:rsidP="005D67BA"/>
    <w:p w:rsidR="00F90BA6" w:rsidRDefault="00F90BA6" w:rsidP="005D67BA"/>
    <w:p w:rsidR="00722A0F" w:rsidRDefault="00722A0F" w:rsidP="005D67BA"/>
    <w:p w:rsidR="00722A0F" w:rsidRDefault="00722A0F" w:rsidP="005D67BA"/>
    <w:p w:rsidR="00722A0F" w:rsidRDefault="00722A0F" w:rsidP="005D67BA"/>
    <w:p w:rsidR="00F90BA6" w:rsidRDefault="00FE6A69" w:rsidP="00FE6A69">
      <w:pPr>
        <w:jc w:val="center"/>
      </w:pPr>
      <w:r>
        <w:rPr>
          <w:noProof/>
        </w:rPr>
        <w:drawing>
          <wp:inline distT="0" distB="0" distL="0" distR="0" wp14:anchorId="672B458F" wp14:editId="00B60E23">
            <wp:extent cx="4990477" cy="147619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0477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BA6" w:rsidRDefault="00F90BA6" w:rsidP="00722A0F">
      <w:pPr>
        <w:jc w:val="center"/>
      </w:pPr>
    </w:p>
    <w:p w:rsidR="00FE6A69" w:rsidRDefault="00FE6A69" w:rsidP="00722A0F">
      <w:pPr>
        <w:jc w:val="center"/>
      </w:pPr>
    </w:p>
    <w:p w:rsidR="00FE6A69" w:rsidRDefault="00FE6A69" w:rsidP="00722A0F">
      <w:pPr>
        <w:jc w:val="center"/>
      </w:pPr>
    </w:p>
    <w:p w:rsidR="00FE6A69" w:rsidRDefault="00FE6A69" w:rsidP="00722A0F">
      <w:pPr>
        <w:jc w:val="center"/>
      </w:pPr>
    </w:p>
    <w:p w:rsidR="00FE6A69" w:rsidRDefault="00FE6A69" w:rsidP="00722A0F">
      <w:pPr>
        <w:jc w:val="center"/>
      </w:pPr>
    </w:p>
    <w:p w:rsidR="003D0AE7" w:rsidRPr="003D0AE7" w:rsidRDefault="003D0AE7" w:rsidP="003D0AE7"/>
    <w:p w:rsidR="005D67BA" w:rsidRPr="003D0AE7" w:rsidRDefault="00E361D0" w:rsidP="003D0AE7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 w:rsidRPr="00E361D0">
        <w:rPr>
          <w:rFonts w:ascii="Arial" w:hAnsi="Arial" w:cs="Arial"/>
          <w:b/>
          <w:color w:val="FF0000"/>
          <w:sz w:val="96"/>
          <w:szCs w:val="96"/>
        </w:rPr>
        <w:t>SG1026UP</w:t>
      </w:r>
    </w:p>
    <w:p w:rsidR="000C668D" w:rsidRPr="00CF7D2E" w:rsidRDefault="00E361D0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E361D0">
        <w:rPr>
          <w:rFonts w:ascii="Arial" w:hAnsi="Arial" w:cs="Arial"/>
          <w:color w:val="FF0000"/>
          <w:w w:val="90"/>
          <w:sz w:val="44"/>
          <w:szCs w:val="44"/>
        </w:rPr>
        <w:t>26-Port Gigabit Unmanaged POE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DA19BA" w:rsidRPr="00CA3AAE" w:rsidRDefault="00DA19BA" w:rsidP="00D13F8D">
      <w:pPr>
        <w:pStyle w:val="a5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CA3AAE">
        <w:rPr>
          <w:rFonts w:ascii="Arial" w:hAnsi="Arial" w:cs="Arial"/>
          <w:color w:val="7F7F7F" w:themeColor="text1" w:themeTint="80"/>
          <w:w w:val="95"/>
        </w:rPr>
        <w:t xml:space="preserve">SG1026UP is </w:t>
      </w:r>
      <w:proofErr w:type="gramStart"/>
      <w:r w:rsidRPr="00CA3AAE">
        <w:rPr>
          <w:rFonts w:ascii="Arial" w:hAnsi="Arial" w:cs="Arial"/>
          <w:color w:val="7F7F7F" w:themeColor="text1" w:themeTint="80"/>
          <w:w w:val="95"/>
        </w:rPr>
        <w:t>a</w:t>
      </w:r>
      <w:proofErr w:type="gramEnd"/>
      <w:r w:rsidRPr="00CA3AAE">
        <w:rPr>
          <w:rFonts w:ascii="Arial" w:hAnsi="Arial" w:cs="Arial"/>
          <w:color w:val="7F7F7F" w:themeColor="text1" w:themeTint="80"/>
          <w:w w:val="95"/>
        </w:rPr>
        <w:t xml:space="preserve"> unmanaged </w:t>
      </w:r>
      <w:proofErr w:type="spellStart"/>
      <w:r w:rsidRPr="00CA3AAE">
        <w:rPr>
          <w:rFonts w:ascii="Arial" w:hAnsi="Arial" w:cs="Arial"/>
          <w:color w:val="7F7F7F" w:themeColor="text1" w:themeTint="80"/>
          <w:w w:val="95"/>
        </w:rPr>
        <w:t>PoE</w:t>
      </w:r>
      <w:proofErr w:type="spellEnd"/>
      <w:r w:rsidRPr="00CA3AAE">
        <w:rPr>
          <w:rFonts w:ascii="Arial" w:hAnsi="Arial" w:cs="Arial"/>
          <w:color w:val="7F7F7F" w:themeColor="text1" w:themeTint="80"/>
          <w:w w:val="95"/>
        </w:rPr>
        <w:t xml:space="preserve"> switch independently designed by TG.  With a maximum </w:t>
      </w:r>
      <w:proofErr w:type="spellStart"/>
      <w:r w:rsidRPr="00CA3AAE">
        <w:rPr>
          <w:rFonts w:ascii="Arial" w:hAnsi="Arial" w:cs="Arial"/>
          <w:color w:val="7F7F7F" w:themeColor="text1" w:themeTint="80"/>
          <w:w w:val="95"/>
        </w:rPr>
        <w:t>PoE</w:t>
      </w:r>
      <w:proofErr w:type="spellEnd"/>
      <w:r w:rsidRPr="00CA3AAE">
        <w:rPr>
          <w:rFonts w:ascii="Arial" w:hAnsi="Arial" w:cs="Arial"/>
          <w:color w:val="7F7F7F" w:themeColor="text1" w:themeTint="80"/>
          <w:w w:val="95"/>
        </w:rPr>
        <w:t xml:space="preserve"> power output of 370 W, and 30 W for a single port, it can supply power when transmitting data with APs, IP cameras, and IP phones. The </w:t>
      </w:r>
      <w:proofErr w:type="gramStart"/>
      <w:r w:rsidRPr="00CA3AAE">
        <w:rPr>
          <w:rFonts w:ascii="Arial" w:hAnsi="Arial" w:cs="Arial"/>
          <w:color w:val="7F7F7F" w:themeColor="text1" w:themeTint="80"/>
          <w:w w:val="95"/>
        </w:rPr>
        <w:t>switch  is</w:t>
      </w:r>
      <w:proofErr w:type="gramEnd"/>
      <w:r w:rsidRPr="00CA3AAE">
        <w:rPr>
          <w:rFonts w:ascii="Arial" w:hAnsi="Arial" w:cs="Arial"/>
          <w:color w:val="7F7F7F" w:themeColor="text1" w:themeTint="80"/>
          <w:w w:val="95"/>
        </w:rPr>
        <w:t xml:space="preserve"> an ideal choice for SMBs, hotels, schools, factories with video surveillance and wireless networking requirements.</w:t>
      </w:r>
    </w:p>
    <w:p w:rsidR="0078764A" w:rsidRDefault="0078764A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DA19BA" w:rsidRPr="00D13F8D" w:rsidRDefault="00DA19BA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78764A" w:rsidRDefault="0078764A">
      <w:pPr>
        <w:widowControl/>
        <w:jc w:val="left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9D44BA" w:rsidRPr="009D44BA" w:rsidRDefault="009D44BA" w:rsidP="00CA3AAE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>
        <w:rPr>
          <w:rFonts w:ascii="Arial" w:hAnsi="Arial" w:cs="Arial"/>
          <w:color w:val="3B3838" w:themeColor="background2" w:themeShade="40"/>
          <w:sz w:val="20"/>
          <w:szCs w:val="20"/>
        </w:rPr>
        <w:t>24 * 100/100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0Mbps Base-T RJ45 ports for data transmission and power supply</w:t>
      </w:r>
      <w:proofErr w:type="gramStart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,2</w:t>
      </w:r>
      <w:proofErr w:type="gramEnd"/>
      <w:r>
        <w:rPr>
          <w:rFonts w:ascii="Arial" w:hAnsi="Arial" w:cs="Arial" w:hint="eastAsia"/>
          <w:color w:val="3B3838" w:themeColor="background2" w:themeShade="40"/>
          <w:sz w:val="20"/>
          <w:szCs w:val="20"/>
        </w:rPr>
        <w:t>*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1000 Mbps</w:t>
      </w:r>
      <w:r w:rsidR="00656F2C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Base-X SFP slots.</w:t>
      </w:r>
    </w:p>
    <w:p w:rsidR="009D44BA" w:rsidRPr="009D44BA" w:rsidRDefault="009D44BA" w:rsidP="00CA3AAE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8K MAC address table and MAC address auto-learning.</w:t>
      </w:r>
    </w:p>
    <w:p w:rsidR="009D44BA" w:rsidRPr="009D44BA" w:rsidRDefault="009D44BA" w:rsidP="00CA3AAE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IEEE 802.3x-compliant full-duplex flow control and half-duplex backpressure flow control.</w:t>
      </w:r>
    </w:p>
    <w:p w:rsidR="009D44BA" w:rsidRDefault="009D44BA" w:rsidP="00CA3AAE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>
        <w:rPr>
          <w:rFonts w:ascii="Arial" w:hAnsi="Arial" w:cs="Arial" w:hint="eastAsia"/>
          <w:color w:val="3B3838" w:themeColor="background2" w:themeShade="40"/>
          <w:sz w:val="20"/>
          <w:szCs w:val="20"/>
        </w:rPr>
        <w:t>52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Gbps backplane bandwidth</w:t>
      </w:r>
    </w:p>
    <w:p w:rsidR="009D44BA" w:rsidRDefault="009D44BA" w:rsidP="00CA3AAE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The entire switch offers a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maximum </w:t>
      </w:r>
      <w:proofErr w:type="spellStart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PoE</w:t>
      </w:r>
      <w:proofErr w:type="spellEnd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power output of 370 W, and 30 W for a single port, to supply power to and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data transmission with 24 </w:t>
      </w:r>
      <w:proofErr w:type="spellStart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PoE</w:t>
      </w:r>
      <w:proofErr w:type="spellEnd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-powered devices such as APs and IP cameras.</w:t>
      </w:r>
    </w:p>
    <w:p w:rsidR="00007A88" w:rsidRPr="009D44BA" w:rsidRDefault="00007A88" w:rsidP="00CA3AAE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The switch’s uplink gigabit port prevents bottleneck in the uplink transmission, and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up to </w:t>
      </w:r>
      <w:r w:rsidR="009D44BA"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>24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IP cameras can be connected to the switch for data transmission without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network lag.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6877D6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6877D6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6877D6" w:rsidRDefault="009D44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9D44BA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SG1026UP</w:t>
            </w:r>
          </w:p>
        </w:tc>
      </w:tr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6877D6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007A88" w:rsidRPr="00007A88" w:rsidRDefault="009D44BA" w:rsidP="00007A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 w:rsidR="00007A88" w:rsidRPr="00007A88">
              <w:rPr>
                <w:rFonts w:ascii="Arial" w:hAnsi="Arial" w:cs="Arial"/>
                <w:kern w:val="0"/>
                <w:sz w:val="18"/>
                <w:szCs w:val="18"/>
              </w:rPr>
              <w:t>*10/100/1000 Base-T ports(POE)</w:t>
            </w:r>
          </w:p>
          <w:p w:rsidR="00B07D34" w:rsidRPr="006877D6" w:rsidRDefault="009D44BA" w:rsidP="00007A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007A88">
              <w:rPr>
                <w:rFonts w:ascii="Arial" w:hAnsi="Arial" w:cs="Arial"/>
                <w:kern w:val="0"/>
                <w:sz w:val="18"/>
                <w:szCs w:val="18"/>
              </w:rPr>
              <w:t>* 1000 Base-X SFP ports</w:t>
            </w:r>
          </w:p>
        </w:tc>
      </w:tr>
      <w:tr w:rsidR="00C952C3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Max Output Power(single port)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30W</w:t>
            </w:r>
          </w:p>
        </w:tc>
      </w:tr>
      <w:tr w:rsidR="00EE5F47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E5F47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Total 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E5F47" w:rsidRPr="006877D6" w:rsidRDefault="009D44B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40</w:t>
            </w:r>
            <w:r w:rsidR="00EE5F47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0W</w:t>
            </w:r>
          </w:p>
        </w:tc>
      </w:tr>
      <w:tr w:rsidR="00EE5F47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E5F47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PoE</w:t>
            </w:r>
            <w:proofErr w:type="spellEnd"/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 Pin-out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E5F47" w:rsidRPr="006877D6" w:rsidRDefault="00EE5F47" w:rsidP="00EE5F4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1/2(+),3/6(-)</w:t>
            </w:r>
          </w:p>
        </w:tc>
      </w:tr>
      <w:tr w:rsidR="00990F0B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6877D6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6877D6" w:rsidRDefault="009D44B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52</w:t>
            </w:r>
            <w:r w:rsidR="00990F0B"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691E59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91E59" w:rsidRPr="007A6DA5" w:rsidRDefault="00691E59" w:rsidP="00347CD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91E59" w:rsidRPr="007A6DA5" w:rsidRDefault="00AA3388" w:rsidP="00A30C16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39</w:t>
            </w:r>
            <w:r w:rsidR="00A30C1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M</w:t>
            </w:r>
            <w:r w:rsidR="003806C1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6877D6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691E59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6877D6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6877D6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6877D6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AA3388" w:rsidP="00AA33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440</w:t>
            </w:r>
            <w:r w:rsidR="000923A2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(L)*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280</w:t>
            </w:r>
            <w:r w:rsidR="000923A2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(W)*44(H)mm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B61BDA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6877D6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9741B9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6877D6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</w:p>
        </w:tc>
      </w:tr>
      <w:tr w:rsidR="0005549E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6877D6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6877D6" w:rsidRDefault="00AA3388" w:rsidP="00AA33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400</w:t>
            </w:r>
            <w:r w:rsidR="00F90BA6"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W output the whole device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717CBF" w:rsidP="00AA33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AA3388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6877D6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6877D6" w:rsidRDefault="00A30C16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6877D6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6877D6" w:rsidRDefault="00AA3388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9741B9" w:rsidP="00691E5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,,</w:t>
            </w: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/</w:t>
            </w:r>
            <w:proofErr w:type="spellStart"/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Act</w:t>
            </w:r>
            <w:r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,POE</w:t>
            </w:r>
            <w:proofErr w:type="spellEnd"/>
          </w:p>
        </w:tc>
      </w:tr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6877D6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691E5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Standard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691E59" w:rsidP="00AA33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IEEE 802.3, IEEE 802.3u, IEEE 802.3x, IEEE 802.3ab</w:t>
            </w:r>
          </w:p>
        </w:tc>
      </w:tr>
      <w:tr w:rsidR="00691E59" w:rsidRPr="006877D6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91E59" w:rsidRPr="006877D6" w:rsidRDefault="00691E59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91E59" w:rsidRPr="006877D6" w:rsidRDefault="00691E59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</w:tbl>
    <w:p w:rsidR="00CA3AAE" w:rsidRPr="003D0AE7" w:rsidRDefault="00CA3AAE" w:rsidP="00CA3AAE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CA3AAE" w:rsidRPr="006877D6" w:rsidTr="004B12C2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CA3AAE" w:rsidRPr="00954FD0" w:rsidRDefault="00CA3AAE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CA3AAE" w:rsidRPr="00954FD0" w:rsidRDefault="00CA3AAE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CA3AAE" w:rsidRPr="006877D6" w:rsidTr="004B12C2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AAE" w:rsidRPr="00236617" w:rsidRDefault="00CA3AA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A3A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SG1026UP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AAE" w:rsidRPr="006877D6" w:rsidRDefault="00CA3AAE" w:rsidP="00CA3AAE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CA3AAE">
              <w:rPr>
                <w:rFonts w:ascii="Arial" w:hAnsi="Arial" w:cs="Arial"/>
                <w:kern w:val="0"/>
                <w:sz w:val="18"/>
                <w:szCs w:val="18"/>
              </w:rPr>
              <w:t xml:space="preserve">24*10/100/1000 Base-T </w:t>
            </w:r>
            <w:proofErr w:type="gramStart"/>
            <w:r w:rsidRPr="00CA3AAE">
              <w:rPr>
                <w:rFonts w:ascii="Arial" w:hAnsi="Arial" w:cs="Arial"/>
                <w:kern w:val="0"/>
                <w:sz w:val="18"/>
                <w:szCs w:val="18"/>
              </w:rPr>
              <w:t>ports(</w:t>
            </w:r>
            <w:proofErr w:type="gramEnd"/>
            <w:r w:rsidRPr="00CA3AAE">
              <w:rPr>
                <w:rFonts w:ascii="Arial" w:hAnsi="Arial" w:cs="Arial"/>
                <w:kern w:val="0"/>
                <w:sz w:val="18"/>
                <w:szCs w:val="18"/>
              </w:rPr>
              <w:t>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CA3AAE">
              <w:rPr>
                <w:rFonts w:ascii="Arial" w:hAnsi="Arial" w:cs="Arial"/>
                <w:kern w:val="0"/>
                <w:sz w:val="18"/>
                <w:szCs w:val="18"/>
              </w:rPr>
              <w:t>2* 1000 Base-X SFP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CA3AAE">
              <w:rPr>
                <w:rFonts w:ascii="Arial" w:hAnsi="Arial" w:cs="Arial"/>
                <w:kern w:val="0"/>
                <w:sz w:val="18"/>
                <w:szCs w:val="18"/>
              </w:rPr>
              <w:t>Total Output Power: 400W.</w:t>
            </w:r>
          </w:p>
        </w:tc>
      </w:tr>
      <w:tr w:rsidR="00CA3AAE" w:rsidRPr="006877D6" w:rsidTr="004B12C2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CA3AAE" w:rsidRDefault="00CA3AAE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CA3AAE" w:rsidRPr="006877D6" w:rsidTr="004B12C2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CA3AAE" w:rsidRPr="00236617" w:rsidRDefault="00CA3AA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CA3AAE" w:rsidRPr="00603CAE" w:rsidRDefault="00CA3AA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CA3AAE" w:rsidRPr="006877D6" w:rsidTr="004B12C2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CA3AAE" w:rsidRPr="00236617" w:rsidRDefault="00CA3AA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CA3AAE" w:rsidRPr="00757E07" w:rsidRDefault="00CA3AAE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CA3AAE" w:rsidRPr="006877D6" w:rsidTr="004B12C2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CA3AAE" w:rsidRPr="00236617" w:rsidRDefault="00CA3AA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CA3AAE" w:rsidRPr="00757E07" w:rsidRDefault="00CA3AAE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CA3AAE" w:rsidRPr="006877D6" w:rsidTr="004B12C2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CA3AAE" w:rsidRPr="00236617" w:rsidRDefault="00CA3AA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CA3AAE" w:rsidRPr="00757E07" w:rsidRDefault="00CA3AAE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</w:tbl>
    <w:p w:rsidR="0078764A" w:rsidRPr="00CA3AAE" w:rsidRDefault="0078764A" w:rsidP="003D0AE7"/>
    <w:p w:rsidR="0078764A" w:rsidRDefault="00787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  <w:bookmarkStart w:id="0" w:name="_GoBack"/>
      <w:bookmarkEnd w:id="0"/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FA31FA" w:rsidRPr="0078764A" w:rsidRDefault="00FA31FA" w:rsidP="00FA31FA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FA31FA" w:rsidP="00FA31FA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7B" w:rsidRDefault="00306C7B">
      <w:r>
        <w:separator/>
      </w:r>
    </w:p>
  </w:endnote>
  <w:endnote w:type="continuationSeparator" w:id="0">
    <w:p w:rsidR="00306C7B" w:rsidRDefault="003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16A63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16A63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7B" w:rsidRDefault="00306C7B">
      <w:r>
        <w:separator/>
      </w:r>
    </w:p>
  </w:footnote>
  <w:footnote w:type="continuationSeparator" w:id="0">
    <w:p w:rsidR="00306C7B" w:rsidRDefault="0030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8"/>
    <w:multiLevelType w:val="multilevel"/>
    <w:tmpl w:val="4A7257F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7A88"/>
    <w:rsid w:val="00024FA6"/>
    <w:rsid w:val="0005549E"/>
    <w:rsid w:val="00056F90"/>
    <w:rsid w:val="000805AB"/>
    <w:rsid w:val="000923A2"/>
    <w:rsid w:val="00094C93"/>
    <w:rsid w:val="000C333E"/>
    <w:rsid w:val="000C668D"/>
    <w:rsid w:val="001918DE"/>
    <w:rsid w:val="002A01EB"/>
    <w:rsid w:val="002C7B0A"/>
    <w:rsid w:val="002F24AC"/>
    <w:rsid w:val="00306C7B"/>
    <w:rsid w:val="003806C1"/>
    <w:rsid w:val="00383A0D"/>
    <w:rsid w:val="003A3DD6"/>
    <w:rsid w:val="003D0AE7"/>
    <w:rsid w:val="003E6887"/>
    <w:rsid w:val="003E763F"/>
    <w:rsid w:val="003F0993"/>
    <w:rsid w:val="004021DE"/>
    <w:rsid w:val="00514641"/>
    <w:rsid w:val="00522B02"/>
    <w:rsid w:val="005D67BA"/>
    <w:rsid w:val="005D740C"/>
    <w:rsid w:val="005E02DC"/>
    <w:rsid w:val="00642302"/>
    <w:rsid w:val="00656F2C"/>
    <w:rsid w:val="00686C42"/>
    <w:rsid w:val="006877D6"/>
    <w:rsid w:val="00691E59"/>
    <w:rsid w:val="006A2A07"/>
    <w:rsid w:val="006E187A"/>
    <w:rsid w:val="006F3736"/>
    <w:rsid w:val="00701288"/>
    <w:rsid w:val="00717CBF"/>
    <w:rsid w:val="00722A0F"/>
    <w:rsid w:val="00763FCD"/>
    <w:rsid w:val="0078764A"/>
    <w:rsid w:val="007937D6"/>
    <w:rsid w:val="007B01C6"/>
    <w:rsid w:val="007E398A"/>
    <w:rsid w:val="00805CDE"/>
    <w:rsid w:val="00871D22"/>
    <w:rsid w:val="009741B9"/>
    <w:rsid w:val="00990F0B"/>
    <w:rsid w:val="00994784"/>
    <w:rsid w:val="009D44BA"/>
    <w:rsid w:val="00A30C16"/>
    <w:rsid w:val="00A42FB7"/>
    <w:rsid w:val="00A502BA"/>
    <w:rsid w:val="00AA3388"/>
    <w:rsid w:val="00AC5959"/>
    <w:rsid w:val="00AF0AE9"/>
    <w:rsid w:val="00B07D34"/>
    <w:rsid w:val="00B10705"/>
    <w:rsid w:val="00B40701"/>
    <w:rsid w:val="00B60CCE"/>
    <w:rsid w:val="00B61BDA"/>
    <w:rsid w:val="00B819FE"/>
    <w:rsid w:val="00B8783F"/>
    <w:rsid w:val="00BA39A5"/>
    <w:rsid w:val="00BA6270"/>
    <w:rsid w:val="00BD58D1"/>
    <w:rsid w:val="00BF02A0"/>
    <w:rsid w:val="00C100BC"/>
    <w:rsid w:val="00C41F0D"/>
    <w:rsid w:val="00C61DAA"/>
    <w:rsid w:val="00C93613"/>
    <w:rsid w:val="00C952C3"/>
    <w:rsid w:val="00CA1CB6"/>
    <w:rsid w:val="00CA3AAE"/>
    <w:rsid w:val="00CC4D59"/>
    <w:rsid w:val="00CF7D2E"/>
    <w:rsid w:val="00D13F8D"/>
    <w:rsid w:val="00D5702D"/>
    <w:rsid w:val="00D763AF"/>
    <w:rsid w:val="00D940C4"/>
    <w:rsid w:val="00DA19BA"/>
    <w:rsid w:val="00DC786D"/>
    <w:rsid w:val="00DF521A"/>
    <w:rsid w:val="00E361D0"/>
    <w:rsid w:val="00E469F4"/>
    <w:rsid w:val="00E657AF"/>
    <w:rsid w:val="00E96E4D"/>
    <w:rsid w:val="00EE5F47"/>
    <w:rsid w:val="00EF7B04"/>
    <w:rsid w:val="00F16A63"/>
    <w:rsid w:val="00F53A40"/>
    <w:rsid w:val="00F63982"/>
    <w:rsid w:val="00F72678"/>
    <w:rsid w:val="00F83679"/>
    <w:rsid w:val="00F90BA6"/>
    <w:rsid w:val="00F9765F"/>
    <w:rsid w:val="00FA0075"/>
    <w:rsid w:val="00FA31FA"/>
    <w:rsid w:val="00FB0F2E"/>
    <w:rsid w:val="00FE6A69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89E5A-6E5F-4652-BE43-BC946D33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3842</TotalTime>
  <Pages>4</Pages>
  <Words>392</Words>
  <Characters>2240</Characters>
  <Application>Microsoft Office Word</Application>
  <DocSecurity>0</DocSecurity>
  <Lines>18</Lines>
  <Paragraphs>5</Paragraphs>
  <ScaleCrop>false</ScaleCrop>
  <Company>TG-NET.cn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71</cp:revision>
  <cp:lastPrinted>2021-09-15T09:36:00Z</cp:lastPrinted>
  <dcterms:created xsi:type="dcterms:W3CDTF">2018-04-02T02:43:00Z</dcterms:created>
  <dcterms:modified xsi:type="dcterms:W3CDTF">2021-11-03T06:54:00Z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